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it-IT"/>
        </w:rPr>
        <w:t>1. Auditor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it-IT"/>
        </w:rPr>
        <w:t xml:space="preserve">a del Prompt (IA) </w:t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</w:pP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Herramienta: Nano Banana (Model 1.5 Pro/Flash). </w:t>
      </w:r>
      <w:r>
        <w:rPr>
          <w:rStyle w:val="Ninguno"/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</w:pP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Dimensiones: 800x450 (Relaci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</w:rPr>
        <w:t xml:space="preserve">n 16:9). </w:t>
      </w:r>
      <w:r>
        <w:rPr>
          <w:rStyle w:val="Ninguno"/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</w:pP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Instrucci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</w:rPr>
        <w:t>n t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it-IT"/>
        </w:rPr>
        <w:t>cnica (Prompt): &gt; "Genera una infograf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pt-PT"/>
        </w:rPr>
        <w:t>a educativa de 800x450 p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xeles para el bloque de Saberes B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á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sicos de un REA. T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tulo: 'SABERES B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Á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pt-PT"/>
        </w:rPr>
        <w:t>SICOS: MAGNITUDES EL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CTRICAS'. La imagen debe estar dividida en tres columnas con iconos limpios: 1. POTENCIA (icono de bombilla, unidad W/kW). 2. ENERG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it-IT"/>
        </w:rPr>
        <w:t>A (icono de bater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a/consumo, unidad kWh y la f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rmula E = P x t). 3. FACTURA (icono de billetes/recibo, conceptos de T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rmino Fijo y Variable). Estilo minimalista, fondo claro, tipograf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a profesional y colores corporativos (azul, verde y gris)." </w:t>
      </w:r>
      <w:r>
        <w:rPr>
          <w:rStyle w:val="Ninguno"/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